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河海大学收费服务管理系统使用手册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（校外付费用户使用）</w:t>
      </w:r>
    </w:p>
    <w:p>
      <w:pPr>
        <w:jc w:val="center"/>
      </w:pPr>
    </w:p>
    <w:p>
      <w:pPr>
        <w:jc w:val="center"/>
      </w:pP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/>
          <w:bCs/>
          <w:sz w:val="24"/>
          <w:szCs w:val="24"/>
        </w:rPr>
        <w:t>1. 使用前准备</w:t>
      </w:r>
    </w:p>
    <w:p>
      <w:pPr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在进入系统之前，请对浏览器进行设置，如果浏览器为IE 6.0以下版本，请先进行IE升级。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本系统支持IE、Firefox等主流浏览器。</w:t>
      </w:r>
      <w:r>
        <w:rPr>
          <w:rFonts w:asciiTheme="majorEastAsia" w:hAnsiTheme="majorEastAsia" w:eastAsiaTheme="majorEastAsia"/>
          <w:sz w:val="24"/>
          <w:szCs w:val="24"/>
        </w:rPr>
        <w:t xml:space="preserve">IE </w:t>
      </w:r>
      <w:r>
        <w:rPr>
          <w:rFonts w:hint="eastAsia" w:asciiTheme="majorEastAsia" w:hAnsiTheme="majorEastAsia" w:eastAsiaTheme="majorEastAsia"/>
          <w:sz w:val="24"/>
          <w:szCs w:val="24"/>
        </w:rPr>
        <w:t xml:space="preserve">6 </w:t>
      </w:r>
      <w:r>
        <w:rPr>
          <w:rFonts w:asciiTheme="majorEastAsia" w:hAnsiTheme="majorEastAsia" w:eastAsiaTheme="majorEastAsia"/>
          <w:sz w:val="24"/>
          <w:szCs w:val="24"/>
        </w:rPr>
        <w:t xml:space="preserve">以上 </w:t>
      </w:r>
      <w:r>
        <w:rPr>
          <w:rFonts w:hint="eastAsia" w:asciiTheme="majorEastAsia" w:hAnsiTheme="majorEastAsia" w:eastAsiaTheme="majorEastAsia"/>
          <w:sz w:val="24"/>
          <w:szCs w:val="24"/>
        </w:rPr>
        <w:t>，</w:t>
      </w:r>
      <w:r>
        <w:rPr>
          <w:rFonts w:asciiTheme="majorEastAsia" w:hAnsiTheme="majorEastAsia" w:eastAsiaTheme="majorEastAsia"/>
          <w:sz w:val="24"/>
          <w:szCs w:val="24"/>
        </w:rPr>
        <w:t>Firefox 2.0</w:t>
      </w:r>
      <w:r>
        <w:rPr>
          <w:rFonts w:hint="eastAsia" w:asciiTheme="majorEastAsia" w:hAnsiTheme="majorEastAsia" w:eastAsiaTheme="majorEastAsia"/>
          <w:sz w:val="24"/>
          <w:szCs w:val="24"/>
        </w:rPr>
        <w:t xml:space="preserve"> </w:t>
      </w:r>
      <w:r>
        <w:rPr>
          <w:rFonts w:asciiTheme="majorEastAsia" w:hAnsiTheme="majorEastAsia" w:eastAsiaTheme="majorEastAsia"/>
          <w:sz w:val="24"/>
          <w:szCs w:val="24"/>
        </w:rPr>
        <w:t>以上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jc w:val="left"/>
      </w:pP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/>
          <w:bCs/>
          <w:sz w:val="24"/>
          <w:szCs w:val="24"/>
        </w:rPr>
        <w:t>2. 登录主页面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点击网址：</w:t>
      </w:r>
      <w:r>
        <w:fldChar w:fldCharType="begin"/>
      </w:r>
      <w:r>
        <w:instrText xml:space="preserve"> HYPERLINK "http://pay.hhu.edu.cn/" </w:instrText>
      </w:r>
      <w:r>
        <w:fldChar w:fldCharType="separate"/>
      </w:r>
      <w:r>
        <w:rPr>
          <w:rStyle w:val="10"/>
          <w:rFonts w:asciiTheme="majorEastAsia" w:hAnsiTheme="majorEastAsia" w:eastAsiaTheme="majorEastAsia"/>
          <w:sz w:val="24"/>
          <w:szCs w:val="24"/>
        </w:rPr>
        <w:t>http://pay.hhu.edu.cn/</w:t>
      </w:r>
      <w:r>
        <w:rPr>
          <w:rStyle w:val="10"/>
          <w:rFonts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4"/>
        </w:rPr>
        <w:t xml:space="preserve"> ，进入校园支付通收费平台首页。如图1所示。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</w:p>
    <w:p>
      <w:pPr>
        <w:jc w:val="center"/>
      </w:pPr>
      <w:r>
        <w:drawing>
          <wp:inline distT="0" distB="0" distL="0" distR="0">
            <wp:extent cx="5274310" cy="339407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图1（校园支付通收费平台首页）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/>
          <w:bCs/>
          <w:sz w:val="24"/>
          <w:szCs w:val="24"/>
        </w:rPr>
        <w:t>3. 进入校外用户登录页面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点击校园支付通收费平台首页右上角“校外支付码支付”，进入校外用户登录页面。如图2、图3所示。</w:t>
      </w:r>
    </w:p>
    <w:p>
      <w:pPr>
        <w:jc w:val="left"/>
        <w:rPr>
          <w:rFonts w:asciiTheme="majorEastAsia" w:hAnsiTheme="majorEastAsia" w:eastAsiaTheme="majorEastAsia"/>
          <w:sz w:val="24"/>
          <w:szCs w:val="24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pict>
          <v:shape id="_x0000_s1083" o:spid="_x0000_s1083" o:spt="48" type="#_x0000_t48" style="position:absolute;left:0pt;margin-left:167.85pt;margin-top:-4.2pt;height:23.45pt;width:168.5pt;z-index:251719680;mso-width-relative:page;mso-height-relative:page;" stroked="t" coordsize="21600,21600" adj="26849,36706,25048,8290,22369,8290,18094,-104500">
            <v:path arrowok="t"/>
            <v:fill focussize="0,0"/>
            <v:stroke weight="2pt" color="#FF0000" joinstyle="miter"/>
            <v:imagedata o:title=""/>
            <o:lock v:ext="edit"/>
            <o:callout minusx="t"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点击此处进入校外用户登录页面   </w:t>
                  </w:r>
                </w:p>
                <w:p/>
              </w:txbxContent>
            </v:textbox>
          </v:shape>
        </w:pict>
      </w:r>
    </w:p>
    <w:p>
      <w:pPr>
        <w:jc w:val="left"/>
      </w:pPr>
      <w:r>
        <w:pict>
          <v:rect id="_x0000_s1029" o:spid="_x0000_s1029" o:spt="1" style="position:absolute;left:0pt;margin-left:360.6pt;margin-top:21.3pt;height:15.75pt;width:40.5pt;z-index:251658240;mso-width-relative:page;mso-height-relative:page;" stroked="t" coordsize="21600,21600">
            <v:path/>
            <v:fill opacity="0f" focussize="0,0"/>
            <v:stroke weight="2.2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drawing>
          <wp:inline distT="0" distB="0" distL="0" distR="0">
            <wp:extent cx="5274310" cy="341630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97878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图3（校外用户登录页面）</w:t>
      </w:r>
    </w:p>
    <w:p>
      <w:pPr>
        <w:jc w:val="left"/>
      </w:pP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/>
          <w:bCs/>
          <w:sz w:val="24"/>
          <w:szCs w:val="24"/>
        </w:rPr>
        <w:t>4. 用户登录付款平台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进入校外用户登录页面后，用户有两种方式登录付款平台。</w:t>
      </w:r>
    </w:p>
    <w:p>
      <w:pPr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4.1 支付码登录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用户的每一笔待缴费用都会在系统中生成一个唯一的支付码，凭此支付码登录可直接进入该笔待缴费用的付款平台。如图4、图5所示。</w:t>
      </w:r>
    </w:p>
    <w:p>
      <w:pPr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82" o:spid="_x0000_s1082" o:spt="48" type="#_x0000_t48" style="position:absolute;left:0pt;margin-left:281.8pt;margin-top:57.4pt;height:24.1pt;width:110.45pt;z-index:251718656;mso-width-relative:page;mso-height-relative:page;" stroked="t" coordsize="21600,21600" adj="-17200,37374,-6033,8066,-1173,8066,-55452,50370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1.在此处输入支付码  </w:t>
                  </w:r>
                </w:p>
                <w:p/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81" o:spid="_x0000_s1081" o:spt="48" type="#_x0000_t48" style="position:absolute;left:0pt;margin-left:281.45pt;margin-top:143.5pt;height:38.2pt;width:94pt;z-index:251717632;mso-width-relative:page;mso-height-relative:page;" stroked="t" coordsize="21600,21600" adj="-24047,28272,-6940,5089,-1379,5089,-71108,38846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2.输入支付码后，点击此处登录     </w:t>
                  </w:r>
                </w:p>
                <w:p/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31" o:spid="_x0000_s1031" o:spt="202" type="#_x0000_t202" style="position:absolute;left:0pt;margin-left:87.5pt;margin-top:88.95pt;height:24.75pt;width:119.5pt;z-index:251658240;mso-width-relative:margin;mso-height-relative:margin;" stroked="f" coordsize="21600,21600">
            <v:path/>
            <v:fill opacity="0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widowControl/>
                    <w:rPr>
                      <w:rFonts w:ascii="宋体" w:hAnsi="宋体" w:eastAsia="宋体" w:cs="Arial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Arial"/>
                      <w:kern w:val="0"/>
                      <w:sz w:val="24"/>
                      <w:szCs w:val="24"/>
                    </w:rPr>
                    <w:t xml:space="preserve">7DD37002A66C11BX    </w:t>
                  </w:r>
                </w:p>
                <w:p/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3238500" cy="2857500"/>
            <wp:effectExtent l="19050" t="0" r="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eastAsia="宋体" w:cs="Times New Roman"/>
          <w:b/>
          <w:bCs/>
          <w:sz w:val="32"/>
          <w:szCs w:val="32"/>
        </w:rPr>
        <w:t xml:space="preserve"> </w:t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图4（支付码登录界面）</w:t>
      </w: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42" o:spid="_x0000_s1042" o:spt="202" type="#_x0000_t202" style="position:absolute;left:0pt;margin-left:237pt;margin-top:242.1pt;height:19pt;width:32.25pt;z-index:251679744;mso-width-relative:margin;mso-height-relative:margin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***</w:t>
                  </w:r>
                </w:p>
              </w:txbxContent>
            </v:textbox>
          </v:shape>
        </w:pict>
      </w:r>
      <w:r>
        <w:rPr>
          <w:rFonts w:hint="eastAsia"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3336290"/>
            <wp:effectExtent l="19050" t="0" r="2540" b="0"/>
            <wp:docPr id="8" name="图片 5" descr="QQ图片2016051111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QQ图片2016051111062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图5 （付款平台界面）</w:t>
      </w: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</w:p>
    <w:p>
      <w:pPr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4.2 查询登录</w:t>
      </w:r>
    </w:p>
    <w:p>
      <w:pPr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通过人员编号和姓名查询待付款项目，点击项目中的支付码进入上图5所示付款平台界面。如图6、图7所示。</w:t>
      </w:r>
    </w:p>
    <w:p>
      <w:pPr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  <w:r>
        <w:pict>
          <v:shape id="_x0000_s1080" o:spid="_x0000_s1080" o:spt="48" type="#_x0000_t48" style="position:absolute;left:0pt;margin-left:-12.15pt;margin-top:174.2pt;height:58.9pt;width:81.2pt;z-index:251716608;mso-width-relative:page;mso-height-relative:page;" stroked="t" coordsize="21600,21600" adj="33038,20096,29088,3301,23196,3301,14325,-41605">
            <v:path arrowok="t"/>
            <v:fill focussize="0,0"/>
            <v:stroke weight="2pt" color="#FF0000" joinstyle="miter"/>
            <v:imagedata o:title=""/>
            <o:lock v:ext="edit"/>
            <o:callout minusx="t"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1.点击此处输入人员编号，即身份证号码  </w:t>
                  </w:r>
                </w:p>
                <w:p/>
              </w:txbxContent>
            </v:textbox>
          </v:shape>
        </w:pict>
      </w:r>
      <w:r>
        <w:pict>
          <v:shape id="_x0000_s1078" o:spid="_x0000_s1078" o:spt="48" type="#_x0000_t48" style="position:absolute;left:0pt;margin-left:355.6pt;margin-top:165.4pt;height:38.2pt;width:68pt;z-index:251714560;mso-width-relative:page;mso-height-relative:page;" stroked="t" coordsize="21600,21600" adj="-14628,36839,-4574,5089,-1906,5089,-76759,45038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2.点击此处输入姓名    </w:t>
                  </w:r>
                </w:p>
                <w:p/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3190875" cy="3333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9" o:spid="_x0000_s1079" o:spt="48" type="#_x0000_t48" style="position:absolute;left:0pt;margin-left:256.8pt;margin-top:6.55pt;height:24pt;width:92pt;z-index:251715584;mso-width-relative:page;mso-height-relative:page;" stroked="t" coordsize="21600,21600" adj="-8570,-16110,-4167,8100,-1409,8100,-19311,46665">
            <v:path arrowok="t"/>
            <v:fill focussize="0,0"/>
            <v:stroke weight="2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3.点击此处查询   </w:t>
                  </w:r>
                </w:p>
              </w:txbxContent>
            </v:textbox>
          </v:shape>
        </w:pict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图6（查询登录界面）</w:t>
      </w: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7" o:spid="_x0000_s1077" o:spt="48" type="#_x0000_t48" style="position:absolute;left:0pt;margin-left:361.15pt;margin-top:2.45pt;height:38.2pt;width:68pt;z-index:251713536;mso-width-relative:page;mso-height-relative:page;" stroked="t" coordsize="21600,21600" adj="-10911,33983,-7258,5089,-1906,5089,-73043,42182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4.点击进入付款平台    </w:t>
                  </w:r>
                </w:p>
                <w:p/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56" o:spid="_x0000_s1056" o:spt="202" type="#_x0000_t202" style="position:absolute;left:0pt;margin-left:285.4pt;margin-top:64.85pt;height:48.55pt;width:85.85pt;z-index:251657216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1483995"/>
            <wp:effectExtent l="19050" t="0" r="2540" b="0"/>
            <wp:docPr id="9" name="图片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图7（待支付项目）</w:t>
      </w: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left"/>
        <w:rPr>
          <w:rFonts w:cs="Times New Roman" w:asciiTheme="majorEastAsia" w:hAnsiTheme="majorEastAsia" w:eastAsiaTheme="majorEastAsia"/>
          <w:bCs/>
          <w:sz w:val="24"/>
          <w:szCs w:val="24"/>
        </w:rPr>
      </w:pPr>
    </w:p>
    <w:p>
      <w:pPr>
        <w:jc w:val="left"/>
        <w:rPr>
          <w:rFonts w:cs="Times New Roman" w:asciiTheme="majorEastAsia" w:hAnsiTheme="majorEastAsia" w:eastAsiaTheme="majorEastAsia"/>
          <w:bCs/>
          <w:sz w:val="24"/>
          <w:szCs w:val="24"/>
        </w:rPr>
      </w:pPr>
    </w:p>
    <w:p>
      <w:pPr>
        <w:jc w:val="left"/>
        <w:rPr>
          <w:rFonts w:cs="Times New Roman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/>
          <w:bCs/>
          <w:sz w:val="24"/>
          <w:szCs w:val="24"/>
        </w:rPr>
        <w:t>5. 在线支付</w:t>
      </w:r>
    </w:p>
    <w:p>
      <w:pPr>
        <w:ind w:firstLine="480" w:firstLineChars="200"/>
        <w:jc w:val="left"/>
        <w:rPr>
          <w:rFonts w:cs="Times New Roman" w:asciiTheme="majorEastAsia" w:hAnsiTheme="majorEastAsia" w:eastAsiaTheme="majorEastAsia"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Cs/>
          <w:sz w:val="24"/>
          <w:szCs w:val="24"/>
        </w:rPr>
        <w:t>用户进入付款平台，核对付款信息，核对无误后点击“全额支付”，进入在线支付页面，选择您适用的支付方式进行付款（请根据提示安装控件）。如图8、图9所示。</w:t>
      </w: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4" o:spid="_x0000_s1074" o:spt="48" type="#_x0000_t48" style="position:absolute;left:0pt;margin-left:190.05pt;margin-top:222.05pt;height:38.2pt;width:82.75pt;z-index:251710464;mso-width-relative:page;mso-height-relative:page;" stroked="t" coordsize="21600,21600" adj="-12464,24597,-6969,5089,-1566,5089,-24406,64037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点击此处进入在线支付页面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5" o:spid="_x0000_s1075" o:spt="202" type="#_x0000_t202" style="position:absolute;left:0pt;margin-left:63.65pt;margin-top:266.95pt;height:22.3pt;width:94.15pt;z-index:251711488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hint="eastAsia"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3733165"/>
            <wp:effectExtent l="19050" t="0" r="2540" b="0"/>
            <wp:docPr id="11" name="图片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图8（付款平台界面）</w:t>
      </w: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center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6" o:spid="_x0000_s1076" o:spt="48" type="#_x0000_t48" style="position:absolute;left:0pt;margin-left:-51.75pt;margin-top:109.9pt;height:52.85pt;width:60pt;z-index:251712512;mso-width-relative:page;mso-height-relative:page;" stroked="t" coordsize="21600,21600" adj="32652,-4291,28188,3678,23760,3678,29322,511">
            <v:path arrowok="t"/>
            <v:fill focussize="0,0"/>
            <v:stroke weight="2pt" color="#FF0000" joinstyle="miter"/>
            <v:imagedata o:title=""/>
            <o:lock v:ext="edit"/>
            <o:callout minusx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3种支付方式可供选择    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3" o:spid="_x0000_s1073" o:spt="48" type="#_x0000_t48" style="position:absolute;left:0pt;margin-left:170.75pt;margin-top:187.35pt;height:24pt;width:61.75pt;z-index:251709440;mso-width-relative:page;mso-height-relative:page;" stroked="t" coordsize="21600,21600" adj="-12768,-4050,-7381,8100,-2099,8100,-28771,58725">
            <v:path arrowok="t"/>
            <v:fill focussize="0,0"/>
            <v:stroke weight="2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操作演示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67" o:spid="_x0000_s1067" o:spt="202" type="#_x0000_t202" style="position:absolute;left:0pt;margin-left:88.5pt;margin-top:175.4pt;height:16.6pt;width:43.5pt;z-index:251703296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63" o:spid="_x0000_s1063" o:spt="202" type="#_x0000_t202" style="position:absolute;left:0pt;margin-left:20.4pt;margin-top:74.15pt;height:21.1pt;width:161.6pt;z-index:251699200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2664460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图9（在线支付页面）</w:t>
      </w: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rPr>
          <w:rFonts w:cs="Times New Roman" w:asciiTheme="majorEastAsia" w:hAnsiTheme="majorEastAsia" w:eastAsiaTheme="majorEastAsia"/>
          <w:bCs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bCs/>
          <w:sz w:val="24"/>
          <w:szCs w:val="24"/>
        </w:rPr>
        <w:t>5.1银联卡支付（仅支持借记卡支付）。流程如图10-图12所示。</w:t>
      </w:r>
    </w:p>
    <w:p>
      <w:pPr>
        <w:rPr>
          <w:rFonts w:ascii="Cambria" w:hAnsi="Cambria" w:eastAsia="宋体" w:cs="Times New Roman"/>
          <w:b/>
          <w:bCs/>
          <w:szCs w:val="21"/>
        </w:rPr>
      </w:pP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70" o:spid="_x0000_s1070" o:spt="48" type="#_x0000_t48" style="position:absolute;left:0pt;margin-left:182pt;margin-top:108.75pt;height:24pt;width:82.75pt;z-index:251706368;mso-width-relative:page;mso-height-relative:page;" stroked="t" coordsize="21600,21600" adj="-12464,39150,-6969,8100,-1566,8100,-24406,101925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输入银联卡号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68" o:spid="_x0000_s1068" o:spt="202" type="#_x0000_t202" style="position:absolute;left:0pt;margin-left:26.35pt;margin-top:154.5pt;height:21.1pt;width:161.6pt;z-index:251704320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hint="eastAsia"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280035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图10</w:t>
      </w: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87" o:spid="_x0000_s1087" o:spt="47" type="#_x0000_t47" style="position:absolute;left:0pt;margin-left:255.05pt;margin-top:286.9pt;height:23.25pt;width:96.6pt;z-index:251722752;mso-width-relative:page;mso-height-relative:page;" stroked="t" coordsize="21600,21600" adj="-27358,8361,-1342,8361,-28845,4227,-27358,8361">
            <v:path arrowok="t"/>
            <v:fill focussize="0,0"/>
            <v:stroke weight="2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点击开通并付款 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85" o:spid="_x0000_s1085" o:spt="48" type="#_x0000_t48" style="position:absolute;left:0pt;margin-left:269.15pt;margin-top:110pt;height:71.2pt;width:139.85pt;z-index:251721728;mso-width-relative:page;mso-height-relative:page;" stroked="t" coordsize="21600,21600" adj="-9537,17413,-4672,2730,-927,2730,-9537,17413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输入银行卡信息：         </w:t>
                  </w:r>
                </w:p>
                <w:p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（部分银行借记卡需先到</w:t>
                  </w:r>
                  <w:r>
                    <w:rPr>
                      <w:rFonts w:hint="eastAsia"/>
                      <w:b/>
                      <w:color w:val="FF0000"/>
                    </w:rPr>
                    <w:t>银行网银</w:t>
                  </w:r>
                  <w:r>
                    <w:rPr>
                      <w:rFonts w:hint="eastAsia"/>
                      <w:color w:val="FF0000"/>
                    </w:rPr>
                    <w:t>或</w:t>
                  </w:r>
                  <w:r>
                    <w:rPr>
                      <w:rFonts w:hint="eastAsia"/>
                      <w:b/>
                      <w:color w:val="FF0000"/>
                    </w:rPr>
                    <w:t>银行营业网点</w:t>
                  </w:r>
                  <w:r>
                    <w:rPr>
                      <w:rFonts w:hint="eastAsia"/>
                      <w:color w:val="FF0000"/>
                    </w:rPr>
                    <w:t xml:space="preserve">开通银联无卡支付业务   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84" o:spid="_x0000_s1084" o:spt="202" type="#_x0000_t202" style="position:absolute;left:0pt;margin-left:30.3pt;margin-top:117.25pt;height:198.8pt;width:175.2pt;z-index:251720704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hint="eastAsia"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3863975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图11</w:t>
      </w: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91" o:spid="_x0000_s1091" o:spt="202" type="#_x0000_t202" style="position:absolute;left:0pt;margin-left:57.8pt;margin-top:56.9pt;height:23.45pt;width:100.8pt;z-index:251726848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90" o:spid="_x0000_s1090" o:spt="47" type="#_x0000_t47" style="position:absolute;left:0pt;margin-left:217.6pt;margin-top:41.8pt;height:23.25pt;width:62.25pt;z-index:251725824;mso-width-relative:page;mso-height-relative:page;" stroked="t" coordsize="21600,21600" adj="-19206,22390,-2082,8361,-21513,18255,-19206,22390">
            <v:path arrowok="t"/>
            <v:fill focussize="0,0"/>
            <v:stroke weight="2pt" color="#FF0000" joinstyle="miter"/>
            <v:imagedata o:title=""/>
            <o:lock v:ext="edit"/>
            <o:callout minusy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支付成功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89" o:spid="_x0000_s1089" o:spt="202" type="#_x0000_t202" style="position:absolute;left:0pt;margin-left:114.6pt;margin-top:56.9pt;height:19.25pt;width:44pt;z-index:251724800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E36C09" w:themeColor="accent6" w:themeShade="BF"/>
                      <w:sz w:val="16"/>
                      <w:szCs w:val="16"/>
                    </w:rPr>
                  </w:pPr>
                  <w:r>
                    <w:rPr>
                      <w:rFonts w:hint="eastAsia"/>
                      <w:color w:val="E36C09" w:themeColor="accent6" w:themeShade="BF"/>
                      <w:sz w:val="16"/>
                      <w:szCs w:val="16"/>
                    </w:rPr>
                    <w:t xml:space="preserve">260.00     </w:t>
                  </w:r>
                </w:p>
              </w:txbxContent>
            </v:textbox>
          </v:shape>
        </w:pict>
      </w:r>
      <w:r>
        <w:rPr>
          <w:rFonts w:hint="eastAsia"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2589530"/>
            <wp:effectExtent l="19050" t="0" r="2540" b="0"/>
            <wp:docPr id="14" name="图片 1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图12</w:t>
      </w: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rPr>
          <w:rFonts w:cs="Times New Roman" w:asciiTheme="minorEastAsia" w:hAnsiTheme="minorEastAsia"/>
          <w:bCs/>
          <w:sz w:val="24"/>
          <w:szCs w:val="24"/>
        </w:rPr>
      </w:pPr>
      <w:r>
        <w:rPr>
          <w:rFonts w:hint="eastAsia" w:cs="Times New Roman" w:asciiTheme="minorEastAsia" w:hAnsiTheme="minorEastAsia"/>
          <w:bCs/>
          <w:sz w:val="24"/>
          <w:szCs w:val="24"/>
        </w:rPr>
        <w:t>5.2 网银支付。如图13所示。</w:t>
      </w: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93" o:spid="_x0000_s1093" o:spt="48" type="#_x0000_t48" style="position:absolute;left:0pt;margin-left:313.5pt;margin-top:218.7pt;height:42pt;width:88.5pt;z-index:251728896;mso-width-relative:page;mso-height-relative:page;" stroked="t" coordsize="21600,21600" adj="-14461,-11957,-6883,4629,-1464,4629,-13729,22371">
            <v:path arrowok="t"/>
            <v:fill focussize="0,0"/>
            <v:stroke weight="2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根据实际情况选择付款银行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94" o:spid="_x0000_s1094" o:spt="48" type="#_x0000_t48" style="position:absolute;left:0pt;margin-left:21pt;margin-top:236.7pt;height:42pt;width:81.75pt;z-index:251729920;mso-width-relative:page;mso-height-relative:page;" stroked="t" coordsize="21600,21600" adj="40188,-13500,30280,4629,23185,4629,13039,22371">
            <v:path arrowok="t"/>
            <v:fill focussize="0,0"/>
            <v:stroke weight="2pt" color="#FF0000" joinstyle="miter"/>
            <v:imagedata o:title=""/>
            <o:lock v:ext="edit"/>
            <o:callout minusx="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点击进入网上银行支付页面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pict>
          <v:shape id="_x0000_s1092" o:spid="_x0000_s1092" o:spt="202" type="#_x0000_t202" style="position:absolute;left:0pt;margin-left:24.95pt;margin-top:108.75pt;height:84.55pt;width:355.75pt;z-index:251727872;mso-width-relative:margin;mso-height-relative:margin;" stroked="t" coordsize="21600,21600">
            <v:path/>
            <v:fill opacity="0f" focussize="0,0"/>
            <v:stroke weight="1.5pt" color="#FF0000"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mbria" w:hAnsi="Cambria" w:eastAsia="宋体" w:cs="Times New Roman"/>
          <w:b/>
          <w:bCs/>
          <w:sz w:val="32"/>
          <w:szCs w:val="32"/>
        </w:rPr>
        <w:drawing>
          <wp:inline distT="0" distB="0" distL="0" distR="0">
            <wp:extent cx="5274310" cy="3001645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mbria" w:hAnsi="Cambria" w:eastAsia="宋体" w:cs="Times New Roman"/>
          <w:b/>
          <w:bCs/>
          <w:sz w:val="32"/>
          <w:szCs w:val="32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图13</w:t>
      </w: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jc w:val="center"/>
        <w:rPr>
          <w:rFonts w:cs="Times New Roman" w:asciiTheme="minorEastAsia" w:hAnsiTheme="minorEastAsia"/>
          <w:bCs/>
          <w:szCs w:val="21"/>
        </w:rPr>
      </w:pPr>
    </w:p>
    <w:p>
      <w:pPr>
        <w:rPr>
          <w:rFonts w:cs="Times New Roman" w:asciiTheme="minorEastAsia" w:hAnsiTheme="minorEastAsia"/>
          <w:b/>
          <w:bCs/>
          <w:sz w:val="24"/>
          <w:szCs w:val="24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814762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3464"/>
    <w:rsid w:val="00092536"/>
    <w:rsid w:val="000A48CB"/>
    <w:rsid w:val="000A6109"/>
    <w:rsid w:val="000B0573"/>
    <w:rsid w:val="000B7B50"/>
    <w:rsid w:val="001663BF"/>
    <w:rsid w:val="00190E3C"/>
    <w:rsid w:val="00231332"/>
    <w:rsid w:val="00352A68"/>
    <w:rsid w:val="003B1A2B"/>
    <w:rsid w:val="004D1AE7"/>
    <w:rsid w:val="004E5B7C"/>
    <w:rsid w:val="004E6871"/>
    <w:rsid w:val="00576050"/>
    <w:rsid w:val="006A1D5E"/>
    <w:rsid w:val="006A615F"/>
    <w:rsid w:val="00700971"/>
    <w:rsid w:val="007155D9"/>
    <w:rsid w:val="00743FC3"/>
    <w:rsid w:val="00746280"/>
    <w:rsid w:val="00784733"/>
    <w:rsid w:val="007A3464"/>
    <w:rsid w:val="007F6A5F"/>
    <w:rsid w:val="00927CA1"/>
    <w:rsid w:val="00960D91"/>
    <w:rsid w:val="00A30F55"/>
    <w:rsid w:val="00A43139"/>
    <w:rsid w:val="00B32C59"/>
    <w:rsid w:val="00BF4607"/>
    <w:rsid w:val="00DB5542"/>
    <w:rsid w:val="00E60161"/>
    <w:rsid w:val="00EA759A"/>
    <w:rsid w:val="00F45782"/>
    <w:rsid w:val="00F633FA"/>
    <w:rsid w:val="0F83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_x0000_s1070"/>
        <o:r id="V:Rule2" type="callout" idref="#_x0000_s1073"/>
        <o:r id="V:Rule3" type="callout" idref="#_x0000_s1074"/>
        <o:r id="V:Rule4" type="callout" idref="#_x0000_s1076"/>
        <o:r id="V:Rule5" type="callout" idref="#_x0000_s1077"/>
        <o:r id="V:Rule6" type="callout" idref="#_x0000_s1078"/>
        <o:r id="V:Rule7" type="callout" idref="#_x0000_s1079"/>
        <o:r id="V:Rule8" type="callout" idref="#_x0000_s1080"/>
        <o:r id="V:Rule9" type="callout" idref="#_x0000_s1081"/>
        <o:r id="V:Rule10" type="callout" idref="#_x0000_s1082"/>
        <o:r id="V:Rule11" type="callout" idref="#_x0000_s1083"/>
        <o:r id="V:Rule12" type="callout" idref="#_x0000_s1085"/>
        <o:r id="V:Rule13" type="callout" idref="#_x0000_s1087"/>
        <o:r id="V:Rule14" type="callout" idref="#_x0000_s1090"/>
        <o:r id="V:Rule15" type="callout" idref="#_x0000_s1093"/>
        <o:r id="V:Rule16" type="callout" idref="#_x0000_s109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uiPriority w:val="99"/>
    <w:rPr>
      <w:color w:val="800080" w:themeColor="followedHyperlink"/>
      <w:u w:val="single"/>
    </w:rPr>
  </w:style>
  <w:style w:type="character" w:styleId="10">
    <w:name w:val="Hyperlink"/>
    <w:basedOn w:val="7"/>
    <w:unhideWhenUsed/>
    <w:uiPriority w:val="99"/>
    <w:rPr>
      <w:color w:val="0000FF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Char"/>
    <w:basedOn w:val="7"/>
    <w:link w:val="2"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3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4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5">
    <w:name w:val="页脚 Char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3"/>
    <customShpInfo spid="_x0000_s1029"/>
    <customShpInfo spid="_x0000_s1082"/>
    <customShpInfo spid="_x0000_s1081"/>
    <customShpInfo spid="_x0000_s1031"/>
    <customShpInfo spid="_x0000_s1042"/>
    <customShpInfo spid="_x0000_s1080"/>
    <customShpInfo spid="_x0000_s1078"/>
    <customShpInfo spid="_x0000_s1079"/>
    <customShpInfo spid="_x0000_s1077"/>
    <customShpInfo spid="_x0000_s1056"/>
    <customShpInfo spid="_x0000_s1074"/>
    <customShpInfo spid="_x0000_s1075"/>
    <customShpInfo spid="_x0000_s1076"/>
    <customShpInfo spid="_x0000_s1073"/>
    <customShpInfo spid="_x0000_s1067"/>
    <customShpInfo spid="_x0000_s1063"/>
    <customShpInfo spid="_x0000_s1070"/>
    <customShpInfo spid="_x0000_s1068"/>
    <customShpInfo spid="_x0000_s1087"/>
    <customShpInfo spid="_x0000_s1085"/>
    <customShpInfo spid="_x0000_s1084"/>
    <customShpInfo spid="_x0000_s1091"/>
    <customShpInfo spid="_x0000_s1090"/>
    <customShpInfo spid="_x0000_s1089"/>
    <customShpInfo spid="_x0000_s1093"/>
    <customShpInfo spid="_x0000_s1094"/>
    <customShpInfo spid="_x0000_s10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120</Words>
  <Characters>690</Characters>
  <Lines>5</Lines>
  <Paragraphs>1</Paragraphs>
  <TotalTime>367</TotalTime>
  <ScaleCrop>false</ScaleCrop>
  <LinksUpToDate>false</LinksUpToDate>
  <CharactersWithSpaces>809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2016-05-11T01:55:00Z</dcterms:created>
  <dc:creator>intel</dc:creator>
  <cp:lastModifiedBy>随风</cp:lastModifiedBy>
  <dcterms:modified xsi:type="dcterms:W3CDTF">2020-10-08T10:42:06Z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